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18" w:rsidRDefault="00EE06DF">
      <w:pPr>
        <w:spacing w:line="600" w:lineRule="exact"/>
        <w:jc w:val="left"/>
        <w:rPr>
          <w:rFonts w:ascii="黑体" w:eastAsia="黑体" w:hAnsi="黑体" w:cs="黑体"/>
          <w:bCs/>
          <w:color w:val="000000"/>
          <w:kern w:val="0"/>
          <w:lang w:bidi="ar"/>
        </w:rPr>
      </w:pPr>
      <w:bookmarkStart w:id="0" w:name="MainBody"/>
      <w:r>
        <w:rPr>
          <w:rFonts w:ascii="黑体" w:eastAsia="黑体" w:hAnsi="黑体" w:cs="黑体" w:hint="eastAsia"/>
        </w:rPr>
        <w:t>附件1</w:t>
      </w:r>
    </w:p>
    <w:p w:rsidR="00141218" w:rsidRDefault="00EE06DF">
      <w:pPr>
        <w:widowControl/>
        <w:spacing w:line="500" w:lineRule="exact"/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工作任务清单</w:t>
      </w:r>
    </w:p>
    <w:tbl>
      <w:tblPr>
        <w:tblpPr w:leftFromText="180" w:rightFromText="180" w:vertAnchor="text" w:horzAnchor="page" w:tblpX="1393" w:tblpY="4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071"/>
        <w:gridCol w:w="762"/>
        <w:gridCol w:w="3979"/>
        <w:gridCol w:w="4036"/>
        <w:gridCol w:w="2397"/>
      </w:tblGrid>
      <w:tr w:rsidR="00141218">
        <w:trPr>
          <w:trHeight w:val="737"/>
          <w:tblHeader/>
        </w:trPr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  <w:lang w:bidi="ar"/>
              </w:rPr>
            </w:pPr>
            <w:bookmarkStart w:id="1" w:name="OLE_LINK13"/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事项名称</w:t>
            </w:r>
            <w:bookmarkEnd w:id="1"/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4"/>
                <w:szCs w:val="24"/>
                <w:lang w:bidi="ar"/>
              </w:rPr>
              <w:t>市住建局</w:t>
            </w: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工作任务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4"/>
                <w:szCs w:val="24"/>
                <w:lang w:bidi="ar"/>
              </w:rPr>
              <w:t>各区住建（和交通）局、市质安站</w:t>
            </w:r>
          </w:p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工作任务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完成时间</w:t>
            </w:r>
          </w:p>
        </w:tc>
      </w:tr>
      <w:tr w:rsidR="00141218">
        <w:trPr>
          <w:trHeight w:val="1809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严格人员配备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3979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指导全市落实在建房屋市政工程项目质量员配备，质量员不得兼任施工员、材料员等其他岗位。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ascii="Times New Roman" w:cs="Times New Roman" w:hint="default"/>
                <w:color w:val="auto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对新开工项目，在办理施工许可后，督促施工单位在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5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个工作日内登录省建设工程监管一体化平台，登记质量员信息，未登记的一律不得开工。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月底前并持续推进</w:t>
            </w:r>
          </w:p>
        </w:tc>
      </w:tr>
      <w:tr w:rsidR="00141218">
        <w:trPr>
          <w:trHeight w:val="1549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2071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9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ascii="Times New Roman" w:cs="Times New Roman" w:hint="default"/>
                <w:color w:val="auto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对在建项目，加强人员信息动态监管，对项目质量员擅自核销离岗的，应立即责成建设单位、施工单位补足人员，未补足期间一律停工。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bookmarkStart w:id="2" w:name="OLE_LINK7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月底</w:t>
            </w:r>
            <w:bookmarkEnd w:id="2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前并持续推进</w:t>
            </w:r>
          </w:p>
        </w:tc>
      </w:tr>
      <w:tr w:rsidR="00141218">
        <w:trPr>
          <w:trHeight w:val="1209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</w:pPr>
          </w:p>
        </w:tc>
        <w:tc>
          <w:tcPr>
            <w:tcW w:w="2071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使用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省建设工程监管一体化平台项目质量员配备不足预警功能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，组织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轮全面排查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ascii="Times New Roman" w:cs="Times New Roman" w:hint="default"/>
                <w:color w:val="auto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完成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1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轮全面排查并持续推进。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月底</w:t>
            </w:r>
          </w:p>
        </w:tc>
      </w:tr>
      <w:tr w:rsidR="00141218">
        <w:trPr>
          <w:trHeight w:val="1495"/>
        </w:trPr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强化岗位培训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结合年度检查，开展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1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轮在建项目质量员专题轮训。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ascii="Times New Roman" w:cs="Times New Roman" w:hint="default"/>
                <w:color w:val="auto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采用线上线下相结合模式，确保所辖在建项目质量员年度培训全覆盖（每年至少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1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次），并积极组织现场观摩交流活动。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bookmarkStart w:id="3" w:name="OLE_LINK51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月底前并持续推进</w:t>
            </w:r>
            <w:bookmarkEnd w:id="3"/>
          </w:p>
        </w:tc>
      </w:tr>
    </w:tbl>
    <w:p w:rsidR="00141218" w:rsidRDefault="00141218">
      <w:pPr>
        <w:widowControl/>
        <w:spacing w:line="500" w:lineRule="exact"/>
        <w:jc w:val="center"/>
        <w:textAlignment w:val="center"/>
        <w:rPr>
          <w:rFonts w:ascii="方正小标宋简体" w:eastAsia="方正小标宋简体"/>
          <w:sz w:val="44"/>
          <w:szCs w:val="44"/>
        </w:rPr>
      </w:pPr>
    </w:p>
    <w:tbl>
      <w:tblPr>
        <w:tblpPr w:leftFromText="180" w:rightFromText="180" w:vertAnchor="text" w:horzAnchor="page" w:tblpX="1393" w:tblpY="476"/>
        <w:tblOverlap w:val="never"/>
        <w:tblW w:w="14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071"/>
        <w:gridCol w:w="762"/>
        <w:gridCol w:w="3979"/>
        <w:gridCol w:w="4036"/>
        <w:gridCol w:w="2397"/>
      </w:tblGrid>
      <w:tr w:rsidR="00141218">
        <w:trPr>
          <w:trHeight w:val="735"/>
        </w:trPr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bookmarkStart w:id="4" w:name="OLE_LINK50" w:colFirst="3" w:colLast="5"/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事项名称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ascii="Times New Roman" w:cs="Times New Roman" w:hint="default"/>
                <w:color w:val="auto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4"/>
                <w:szCs w:val="24"/>
                <w:lang w:bidi="ar"/>
              </w:rPr>
              <w:t>市住建局</w:t>
            </w: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工作任务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4"/>
                <w:szCs w:val="24"/>
                <w:lang w:bidi="ar"/>
              </w:rPr>
              <w:t>各区住建（和交通）局、市质安站</w:t>
            </w:r>
          </w:p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ascii="Times New Roman" w:cs="Times New Roman" w:hint="default"/>
                <w:color w:val="auto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工作任务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完成时间</w:t>
            </w:r>
          </w:p>
        </w:tc>
      </w:tr>
      <w:tr w:rsidR="00141218">
        <w:trPr>
          <w:trHeight w:val="1436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选优配强质量员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979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指导全市各龙头企业落实质量员委派制度，推动全市将质量员配备情况纳入招投标评标要素。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textAlignment w:val="center"/>
              <w:rPr>
                <w:rStyle w:val="font91"/>
                <w:rFonts w:ascii="Times New Roman" w:cs="Times New Roman" w:hint="default"/>
                <w:color w:val="auto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督促辖区各龙头企业试行委派制度，质量员由施工企业统一选拔、培训并派驻项目，确保履职独立性。质量员工作调动需经企业质量管理部门书面批准。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月底前并</w:t>
            </w:r>
            <w:bookmarkStart w:id="5" w:name="OLE_LINK12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持续推进</w:t>
            </w:r>
            <w:bookmarkEnd w:id="5"/>
          </w:p>
        </w:tc>
      </w:tr>
      <w:tr w:rsidR="00141218">
        <w:trPr>
          <w:trHeight w:val="1492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1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979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推动建设项目将质量员配备情况纳入工程施工招投标的评标要素，在招标文件中予以明确，同等条件下优先选择质量员配优配强的投标单位。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bookmarkStart w:id="6" w:name="OLE_LINK15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持续推进</w:t>
            </w:r>
            <w:bookmarkEnd w:id="6"/>
          </w:p>
        </w:tc>
      </w:tr>
      <w:tr w:rsidR="00141218">
        <w:trPr>
          <w:trHeight w:val="90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发动技能比武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组织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次全市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住建系统质量员岗位技能竞赛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竞赛内容涵盖质量法律法规、标准规范、质量隐患排查等履职核心技能，重点考察质量员实操能力。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积极参与住建系统质量员岗位技能竞赛。督促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企业积极组队参赛，选拔优秀队伍参加竞赛。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底前</w:t>
            </w:r>
          </w:p>
        </w:tc>
      </w:tr>
      <w:tr w:rsidR="00141218">
        <w:trPr>
          <w:trHeight w:val="1175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1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对市级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竞赛中表现优异的个人和单位，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予以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竞赛奖励，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并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在各类评先评优中予以优先推荐。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对市级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竞赛中表现优异的个人和单位，在各类评先评优中予以优先推荐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2025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4"/>
                <w:u w:color="FFFFFF"/>
                <w:lang w:bidi="ar"/>
              </w:rPr>
              <w:t>9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底前</w:t>
            </w:r>
          </w:p>
        </w:tc>
      </w:tr>
      <w:bookmarkEnd w:id="4"/>
    </w:tbl>
    <w:p w:rsidR="00141218" w:rsidRDefault="00141218">
      <w:pPr>
        <w:spacing w:line="600" w:lineRule="exact"/>
        <w:jc w:val="left"/>
        <w:rPr>
          <w:rFonts w:eastAsia="黑体"/>
        </w:rPr>
      </w:pPr>
    </w:p>
    <w:p w:rsidR="00141218" w:rsidRDefault="00141218">
      <w:pPr>
        <w:spacing w:line="600" w:lineRule="exact"/>
        <w:jc w:val="left"/>
        <w:rPr>
          <w:rFonts w:eastAsia="黑体"/>
        </w:rPr>
      </w:pPr>
    </w:p>
    <w:tbl>
      <w:tblPr>
        <w:tblpPr w:leftFromText="180" w:rightFromText="180" w:vertAnchor="text" w:horzAnchor="page" w:tblpX="1393" w:tblpY="4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071"/>
        <w:gridCol w:w="762"/>
        <w:gridCol w:w="3979"/>
        <w:gridCol w:w="4036"/>
        <w:gridCol w:w="2397"/>
      </w:tblGrid>
      <w:tr w:rsidR="00141218">
        <w:trPr>
          <w:trHeight w:val="759"/>
        </w:trPr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事项名称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4"/>
                <w:szCs w:val="24"/>
                <w:lang w:bidi="ar"/>
              </w:rPr>
              <w:t>市住建局</w:t>
            </w: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工作任务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黑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eastAsia="黑体" w:hint="eastAsia"/>
                <w:bCs/>
                <w:kern w:val="0"/>
                <w:sz w:val="24"/>
                <w:szCs w:val="24"/>
                <w:lang w:bidi="ar"/>
              </w:rPr>
              <w:t>各区住建（和交通）局、市质安站</w:t>
            </w:r>
          </w:p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工作任务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</w:pPr>
            <w:r>
              <w:rPr>
                <w:rFonts w:eastAsia="黑体"/>
                <w:bCs/>
                <w:kern w:val="0"/>
                <w:sz w:val="24"/>
                <w:szCs w:val="24"/>
                <w:lang w:bidi="ar"/>
              </w:rPr>
              <w:t>完成时间</w:t>
            </w:r>
          </w:p>
        </w:tc>
      </w:tr>
      <w:tr w:rsidR="00141218">
        <w:trPr>
          <w:trHeight w:val="1226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bidi="ar"/>
              </w:rPr>
              <w:t>实施履职评价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使用省建设工程监管一体化平台质量员履职评价模块。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2025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4"/>
                <w:u w:color="FFFFFF"/>
                <w:lang w:bidi="ar"/>
              </w:rPr>
              <w:t>6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月底前</w:t>
            </w:r>
          </w:p>
        </w:tc>
      </w:tr>
      <w:tr w:rsidR="00141218">
        <w:trPr>
          <w:trHeight w:val="1425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1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指导全市每季度开展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次质量员履职评价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，实时公布评价结果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结合动态监管，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依托质量员履职评价模块，</w:t>
            </w: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具体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实施质量员履职评价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，评价内容包括实名制打卡、质量行为和工程实体质量情况。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2025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4"/>
                <w:u w:color="FFFFFF"/>
                <w:lang w:bidi="ar"/>
              </w:rPr>
              <w:t>6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月底前</w:t>
            </w:r>
            <w:r>
              <w:rPr>
                <w:rFonts w:eastAsia="仿宋_GB2312" w:hint="eastAsia"/>
                <w:kern w:val="0"/>
                <w:sz w:val="24"/>
                <w:szCs w:val="24"/>
                <w:u w:color="FFFFFF"/>
                <w:lang w:bidi="ar"/>
              </w:rPr>
              <w:t>并</w:t>
            </w:r>
          </w:p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持续推进</w:t>
            </w:r>
          </w:p>
        </w:tc>
      </w:tr>
      <w:tr w:rsidR="00141218">
        <w:trPr>
          <w:trHeight w:val="1536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1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指导相关协会落实惩戒机制，质量员履职评价不合格的项目，不得参与各类省级优质工程评选。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落实本地区惩戒机制，</w:t>
            </w:r>
            <w:r>
              <w:rPr>
                <w:rFonts w:eastAsia="仿宋_GB2312"/>
                <w:kern w:val="0"/>
                <w:sz w:val="24"/>
                <w:szCs w:val="24"/>
                <w:lang w:bidi="ar"/>
              </w:rPr>
              <w:t>质量员履职评价不合格的项目，不得参与各类优质工程评选。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2025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4"/>
                <w:u w:color="FFFFFF"/>
                <w:lang w:bidi="ar"/>
              </w:rPr>
              <w:t>12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月底前并持续推进</w:t>
            </w:r>
          </w:p>
        </w:tc>
      </w:tr>
      <w:tr w:rsidR="00141218">
        <w:trPr>
          <w:trHeight w:val="1746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狠抓措施落地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落实</w:t>
            </w: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《福建省房屋市政工程质量员工作手册》，明确质量员工作职责。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督促本辖区内在建项目质量员严格按照《福建省房屋市政工程质量员工作手册》履职，落实责任。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2025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4"/>
                <w:u w:color="FFFFFF"/>
                <w:lang w:bidi="ar"/>
              </w:rPr>
              <w:t>5</w:t>
            </w: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月底前并</w:t>
            </w:r>
          </w:p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  <w:t>持续推进</w:t>
            </w:r>
          </w:p>
        </w:tc>
      </w:tr>
      <w:tr w:rsidR="00141218">
        <w:trPr>
          <w:trHeight w:val="1326"/>
        </w:trPr>
        <w:tc>
          <w:tcPr>
            <w:tcW w:w="799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071" w:type="dxa"/>
            <w:vMerge/>
            <w:tcBorders>
              <w:tl2br w:val="nil"/>
              <w:tr2bl w:val="nil"/>
            </w:tcBorders>
            <w:vAlign w:val="center"/>
          </w:tcPr>
          <w:p w:rsidR="00141218" w:rsidRDefault="00141218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32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指导全市部署开展质量员职能</w:t>
            </w:r>
          </w:p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bidi="ar"/>
              </w:rPr>
              <w:t>强化专项整治，并结合年度检查开展督导。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Style w:val="font91"/>
                <w:rFonts w:ascii="Times New Roman" w:cs="Times New Roman" w:hint="default"/>
                <w:color w:val="auto"/>
                <w:lang w:bidi="ar"/>
              </w:rPr>
            </w:pPr>
            <w:r>
              <w:rPr>
                <w:rStyle w:val="font91"/>
                <w:rFonts w:ascii="Times New Roman" w:cs="Times New Roman" w:hint="default"/>
                <w:color w:val="auto"/>
                <w:lang w:bidi="ar"/>
              </w:rPr>
              <w:t>制定具体实施方案，确保各项措施落地见效。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vAlign w:val="center"/>
          </w:tcPr>
          <w:p w:rsidR="00141218" w:rsidRDefault="00EE06DF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szCs w:val="24"/>
                <w:u w:color="FFFFFF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2025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月前并持续推进</w:t>
            </w:r>
          </w:p>
        </w:tc>
      </w:tr>
    </w:tbl>
    <w:p w:rsidR="00141218" w:rsidRDefault="00141218">
      <w:pPr>
        <w:spacing w:line="600" w:lineRule="exact"/>
        <w:jc w:val="left"/>
        <w:rPr>
          <w:rFonts w:eastAsia="黑体"/>
        </w:rPr>
        <w:sectPr w:rsidR="001412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74" w:right="1417" w:bottom="1474" w:left="1417" w:header="851" w:footer="850" w:gutter="0"/>
          <w:pgNumType w:fmt="numberInDash" w:start="6"/>
          <w:cols w:space="720"/>
          <w:docGrid w:type="lines" w:linePitch="319"/>
        </w:sectPr>
      </w:pPr>
    </w:p>
    <w:p w:rsidR="00141218" w:rsidRDefault="00EE06DF">
      <w:pPr>
        <w:spacing w:line="60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141218" w:rsidRDefault="00EE06DF">
      <w:pPr>
        <w:spacing w:line="600" w:lineRule="exact"/>
        <w:jc w:val="center"/>
        <w:rPr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  <w:lang w:bidi="ar"/>
        </w:rPr>
        <w:t>房屋市政工程质量</w:t>
      </w:r>
      <w:r>
        <w:rPr>
          <w:rFonts w:eastAsia="方正小标宋简体"/>
          <w:kern w:val="0"/>
          <w:sz w:val="36"/>
          <w:szCs w:val="36"/>
          <w:lang w:bidi="ar"/>
        </w:rPr>
        <w:t>员履职</w:t>
      </w:r>
      <w:r>
        <w:rPr>
          <w:rFonts w:eastAsia="方正小标宋简体" w:hint="eastAsia"/>
          <w:kern w:val="0"/>
          <w:sz w:val="36"/>
          <w:szCs w:val="36"/>
          <w:lang w:bidi="ar"/>
        </w:rPr>
        <w:t>情况</w:t>
      </w:r>
      <w:r>
        <w:rPr>
          <w:rFonts w:eastAsia="方正小标宋简体"/>
          <w:kern w:val="0"/>
          <w:sz w:val="36"/>
          <w:szCs w:val="36"/>
          <w:lang w:bidi="ar"/>
        </w:rPr>
        <w:t>评价表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1397"/>
        <w:gridCol w:w="4962"/>
        <w:gridCol w:w="877"/>
        <w:gridCol w:w="850"/>
        <w:gridCol w:w="824"/>
      </w:tblGrid>
      <w:tr w:rsidR="00141218">
        <w:trPr>
          <w:trHeight w:val="540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  <w:lang w:bidi="ar"/>
              </w:rPr>
              <w:t>评价项目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  <w:lang w:bidi="ar"/>
              </w:rPr>
              <w:t>评价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18" w:rsidRDefault="00EE06DF">
            <w:pPr>
              <w:widowControl/>
              <w:textAlignment w:val="center"/>
              <w:rPr>
                <w:rFonts w:eastAsia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18" w:rsidRDefault="00EE06DF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  <w:lang w:bidi="ar"/>
              </w:rPr>
              <w:t>扣分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41218">
        <w:trPr>
          <w:trHeight w:val="97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实名制打卡情况（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bookmarkStart w:id="7" w:name="OLE_LINK17"/>
            <w:bookmarkStart w:id="8" w:name="OLE_LINK18"/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上季度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连续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天或单月累计超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天未</w:t>
            </w:r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按规定</w:t>
            </w:r>
            <w:r>
              <w:rPr>
                <w:rFonts w:eastAsia="仿宋_GB2312"/>
                <w:kern w:val="0"/>
                <w:sz w:val="28"/>
                <w:szCs w:val="28"/>
                <w:lang w:bidi="ar"/>
              </w:rPr>
              <w:t>进行实名制考勤打卡的</w:t>
            </w:r>
            <w:bookmarkEnd w:id="7"/>
            <w:bookmarkEnd w:id="8"/>
            <w:r>
              <w:rPr>
                <w:rFonts w:eastAsia="仿宋_GB2312" w:hint="eastAsia"/>
                <w:kern w:val="0"/>
                <w:sz w:val="28"/>
                <w:szCs w:val="28"/>
                <w:lang w:bidi="ar"/>
              </w:rPr>
              <w:t>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557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质量行为（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材料</w:t>
            </w:r>
            <w:r>
              <w:rPr>
                <w:rFonts w:eastAsia="仿宋_GB2312" w:hint="eastAsia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设备</w:t>
            </w:r>
            <w:r>
              <w:rPr>
                <w:rFonts w:eastAsia="仿宋_GB2312" w:hint="eastAsia"/>
                <w:sz w:val="28"/>
                <w:szCs w:val="28"/>
              </w:rPr>
              <w:t>未按要求</w:t>
            </w:r>
            <w:r>
              <w:rPr>
                <w:rFonts w:eastAsia="仿宋_GB2312"/>
                <w:sz w:val="28"/>
                <w:szCs w:val="28"/>
              </w:rPr>
              <w:t>进场</w:t>
            </w:r>
            <w:r>
              <w:rPr>
                <w:rFonts w:eastAsia="仿宋_GB2312" w:hint="eastAsia"/>
                <w:sz w:val="28"/>
                <w:szCs w:val="28"/>
              </w:rPr>
              <w:t>复验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699"/>
          <w:jc w:val="center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施工现场已接收的检测机构出具的检测报告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无二维码或者二维码无效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266"/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sz w:val="28"/>
                <w:szCs w:val="28"/>
              </w:rPr>
              <w:t>未按规定组织子分部验收或验收不合格就进入下一道工序的</w:t>
            </w:r>
            <w:r>
              <w:rPr>
                <w:rFonts w:eastAsia="仿宋_GB2312" w:hint="eastAsia"/>
                <w:sz w:val="28"/>
                <w:szCs w:val="28"/>
              </w:rPr>
              <w:t>，或</w:t>
            </w:r>
            <w:r>
              <w:rPr>
                <w:rFonts w:eastAsia="仿宋_GB2312"/>
                <w:sz w:val="28"/>
                <w:szCs w:val="28"/>
              </w:rPr>
              <w:t>隐蔽工程未经验收合格或隐蔽验收资料不齐全就擅自隐蔽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645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地基基础工程</w:t>
            </w:r>
          </w:p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10</w:t>
            </w:r>
            <w:r>
              <w:rPr>
                <w:rFonts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工程桩有效数量与设计不符</w:t>
            </w:r>
            <w:r>
              <w:rPr>
                <w:rFonts w:eastAsia="仿宋_GB2312" w:hint="eastAsia"/>
                <w:sz w:val="28"/>
                <w:szCs w:val="28"/>
              </w:rPr>
              <w:t>，或</w:t>
            </w:r>
            <w:r>
              <w:rPr>
                <w:rFonts w:eastAsia="仿宋_GB2312"/>
                <w:sz w:val="28"/>
                <w:szCs w:val="28"/>
              </w:rPr>
              <w:t>桩身长度不符合设计要求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762"/>
          <w:jc w:val="center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天然基槽（坑）已隐蔽但未进行地基验槽或验槽结论</w:t>
            </w:r>
            <w:r>
              <w:rPr>
                <w:rFonts w:eastAsia="仿宋_GB2312" w:hint="eastAsia"/>
                <w:sz w:val="28"/>
                <w:szCs w:val="28"/>
              </w:rPr>
              <w:t>为</w:t>
            </w:r>
            <w:r>
              <w:rPr>
                <w:rFonts w:eastAsia="仿宋_GB2312"/>
                <w:sz w:val="28"/>
                <w:szCs w:val="28"/>
              </w:rPr>
              <w:t>不符合要求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120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钢筋工程</w:t>
            </w:r>
          </w:p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25</w:t>
            </w:r>
            <w:r>
              <w:rPr>
                <w:rFonts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已安装受力钢筋的牌号、规格和数量不符合设计及规范要求，或</w:t>
            </w:r>
            <w:r>
              <w:rPr>
                <w:rFonts w:eastAsia="仿宋_GB2312"/>
                <w:sz w:val="28"/>
                <w:szCs w:val="28"/>
              </w:rPr>
              <w:t>主要受力构件箍筋个数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规格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>不满足要求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837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墙、柱、梁钢筋骨架中各垂直面、板上部钢筋网交叉点未全部扎牢，或</w:t>
            </w:r>
            <w:r>
              <w:rPr>
                <w:rFonts w:eastAsia="仿宋_GB2312"/>
                <w:sz w:val="28"/>
                <w:szCs w:val="28"/>
              </w:rPr>
              <w:t>纵向受力钢筋锚固长度不满足要求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846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钢筋保护层垫块使用塑料垫块，或垫块厚度、材质及设置间距不符合要求。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837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纵向受力钢筋机械或焊接连接接头外观质量</w:t>
            </w:r>
            <w:r>
              <w:rPr>
                <w:rFonts w:eastAsia="仿宋_GB2312" w:hint="eastAsia"/>
                <w:sz w:val="28"/>
                <w:szCs w:val="28"/>
              </w:rPr>
              <w:t>、检验</w:t>
            </w:r>
            <w:r>
              <w:rPr>
                <w:rFonts w:eastAsia="仿宋_GB2312"/>
                <w:sz w:val="28"/>
                <w:szCs w:val="28"/>
              </w:rPr>
              <w:t>不符合要求的</w:t>
            </w:r>
            <w:r>
              <w:rPr>
                <w:rFonts w:eastAsia="仿宋_GB2312" w:hint="eastAsia"/>
                <w:sz w:val="28"/>
                <w:szCs w:val="28"/>
              </w:rPr>
              <w:t>，或纵向受力钢筋采用机械连接或焊接接头时</w:t>
            </w:r>
            <w:r>
              <w:rPr>
                <w:rFonts w:eastAsia="仿宋_GB2312" w:hint="eastAsia"/>
                <w:sz w:val="28"/>
                <w:szCs w:val="28"/>
              </w:rPr>
              <w:t>,</w:t>
            </w:r>
            <w:r>
              <w:rPr>
                <w:rFonts w:eastAsia="仿宋_GB2312" w:hint="eastAsia"/>
                <w:sz w:val="28"/>
                <w:szCs w:val="28"/>
              </w:rPr>
              <w:t>同一连接区段内接头面积百分率不符合设计要求。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205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矿山法隧道初期支护的</w:t>
            </w:r>
            <w:r>
              <w:rPr>
                <w:rFonts w:eastAsia="仿宋_GB2312"/>
                <w:sz w:val="28"/>
                <w:szCs w:val="28"/>
              </w:rPr>
              <w:t>钢架的钢筋（钢材）品种、规格、加工尺寸不符合设计文件要求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84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  <w:lang w:bidi="ar"/>
              </w:rPr>
              <w:t>评价项目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  <w:lang w:bidi="ar"/>
              </w:rPr>
              <w:t>评价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  <w:lang w:bidi="ar"/>
              </w:rPr>
              <w:t>扣分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141218">
        <w:trPr>
          <w:trHeight w:val="1270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混凝土</w:t>
            </w:r>
          </w:p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工程</w:t>
            </w:r>
          </w:p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20</w:t>
            </w:r>
            <w:r>
              <w:rPr>
                <w:rFonts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砼标养或同条件试块留置频率不符合规范要求，</w:t>
            </w:r>
            <w:r>
              <w:rPr>
                <w:rFonts w:eastAsia="仿宋_GB2312" w:hint="eastAsia"/>
                <w:sz w:val="28"/>
                <w:szCs w:val="28"/>
              </w:rPr>
              <w:t>或</w:t>
            </w:r>
            <w:r>
              <w:rPr>
                <w:rFonts w:eastAsia="仿宋_GB2312"/>
                <w:sz w:val="28"/>
                <w:szCs w:val="28"/>
              </w:rPr>
              <w:t>未</w:t>
            </w:r>
            <w:r>
              <w:rPr>
                <w:rFonts w:eastAsia="仿宋_GB2312" w:hint="eastAsia"/>
                <w:sz w:val="28"/>
                <w:szCs w:val="28"/>
              </w:rPr>
              <w:t>按规定</w:t>
            </w:r>
            <w:r>
              <w:rPr>
                <w:rFonts w:eastAsia="仿宋_GB2312"/>
                <w:sz w:val="28"/>
                <w:szCs w:val="28"/>
              </w:rPr>
              <w:t>设置养护室（养护箱）</w:t>
            </w:r>
            <w:r>
              <w:rPr>
                <w:rFonts w:eastAsia="仿宋_GB2312" w:hint="eastAsia"/>
                <w:sz w:val="28"/>
                <w:szCs w:val="28"/>
              </w:rPr>
              <w:t>，或</w:t>
            </w:r>
            <w:r>
              <w:rPr>
                <w:rFonts w:eastAsia="仿宋_GB2312"/>
                <w:sz w:val="28"/>
                <w:szCs w:val="28"/>
              </w:rPr>
              <w:t>同条件试块未留置在靠近相应结构构件。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27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现浇结构存在露筋、蜂窝、孔洞、夹渣、疏松、裂缝等严重外观质量缺陷，或</w:t>
            </w:r>
            <w:r>
              <w:rPr>
                <w:rFonts w:eastAsia="仿宋_GB2312"/>
                <w:sz w:val="28"/>
                <w:szCs w:val="28"/>
              </w:rPr>
              <w:t>外观质量缺陷修补无记录或记录弄虚作假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796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主要构件</w:t>
            </w:r>
            <w:r>
              <w:rPr>
                <w:rFonts w:eastAsia="仿宋_GB2312"/>
                <w:sz w:val="28"/>
                <w:szCs w:val="28"/>
              </w:rPr>
              <w:t>结构尺寸偏差</w:t>
            </w:r>
            <w:r>
              <w:rPr>
                <w:rFonts w:eastAsia="仿宋_GB2312" w:hint="eastAsia"/>
                <w:sz w:val="28"/>
                <w:szCs w:val="28"/>
              </w:rPr>
              <w:t>不符合</w:t>
            </w:r>
            <w:r>
              <w:rPr>
                <w:rFonts w:eastAsia="仿宋_GB2312"/>
                <w:sz w:val="28"/>
                <w:szCs w:val="28"/>
              </w:rPr>
              <w:t>设计规范要求。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139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未组织</w:t>
            </w:r>
            <w:r>
              <w:rPr>
                <w:rFonts w:eastAsia="仿宋_GB2312" w:hint="eastAsia"/>
                <w:sz w:val="28"/>
                <w:szCs w:val="28"/>
              </w:rPr>
              <w:t>预拌混凝土</w:t>
            </w:r>
            <w:r>
              <w:rPr>
                <w:rFonts w:eastAsia="仿宋_GB2312"/>
                <w:sz w:val="28"/>
                <w:szCs w:val="28"/>
              </w:rPr>
              <w:t>交货检验或交货检验不符合要求</w:t>
            </w:r>
            <w:r>
              <w:rPr>
                <w:rFonts w:eastAsia="仿宋_GB2312" w:hint="eastAsia"/>
                <w:sz w:val="28"/>
                <w:szCs w:val="28"/>
              </w:rPr>
              <w:t>，或已使用的预拌混凝土二维码（生产流水号）缺失（无效）。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139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砌体工程</w:t>
            </w:r>
          </w:p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 w:hint="eastAsia"/>
                <w:sz w:val="28"/>
                <w:szCs w:val="28"/>
              </w:rPr>
              <w:t>分）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构造柱或水平连系梁数量不满足要求的，</w:t>
            </w:r>
            <w:r>
              <w:rPr>
                <w:rFonts w:eastAsia="仿宋_GB2312" w:hint="eastAsia"/>
                <w:sz w:val="28"/>
                <w:szCs w:val="28"/>
              </w:rPr>
              <w:t>或</w:t>
            </w:r>
            <w:r>
              <w:rPr>
                <w:rFonts w:eastAsia="仿宋_GB2312"/>
                <w:sz w:val="28"/>
                <w:szCs w:val="28"/>
              </w:rPr>
              <w:t>洞口未按要求设置过梁的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139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后置拉结筋未进行轴向受拉承载力检验，或拉结钢筋（含留直槎时的拉结钢筋）设置数量及长度不满足要求。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139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不同品种的砖（砌体）混砌</w:t>
            </w:r>
            <w:r>
              <w:rPr>
                <w:rFonts w:eastAsia="仿宋_GB2312" w:hint="eastAsia"/>
                <w:sz w:val="28"/>
                <w:szCs w:val="28"/>
              </w:rPr>
              <w:t>，或</w:t>
            </w:r>
            <w:r>
              <w:rPr>
                <w:rFonts w:eastAsia="仿宋_GB2312"/>
                <w:sz w:val="28"/>
                <w:szCs w:val="28"/>
              </w:rPr>
              <w:t>灰缝厚度、宽度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砂浆饱满度不符合要求</w:t>
            </w:r>
            <w:r>
              <w:rPr>
                <w:rFonts w:eastAsia="仿宋_GB2312" w:hint="eastAsia"/>
                <w:sz w:val="28"/>
                <w:szCs w:val="28"/>
              </w:rPr>
              <w:t>，或</w:t>
            </w:r>
            <w:r>
              <w:rPr>
                <w:rFonts w:eastAsia="仿宋_GB2312"/>
                <w:sz w:val="28"/>
                <w:szCs w:val="28"/>
              </w:rPr>
              <w:t>外墙砌体存在透明缝、瞎缝</w:t>
            </w:r>
            <w:r>
              <w:rPr>
                <w:rFonts w:eastAsia="仿宋_GB2312" w:hint="eastAsia"/>
                <w:sz w:val="28"/>
                <w:szCs w:val="28"/>
              </w:rPr>
              <w:t>、</w:t>
            </w:r>
            <w:r>
              <w:rPr>
                <w:rFonts w:eastAsia="仿宋_GB2312"/>
                <w:sz w:val="28"/>
                <w:szCs w:val="28"/>
              </w:rPr>
              <w:t>假缝。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1387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</w:t>
            </w:r>
          </w:p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11</w:t>
            </w:r>
            <w:r>
              <w:rPr>
                <w:rFonts w:eastAsia="仿宋_GB2312" w:hint="eastAsia"/>
                <w:sz w:val="28"/>
                <w:szCs w:val="28"/>
              </w:rPr>
              <w:t>分）</w:t>
            </w:r>
          </w:p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地下室、屋面、卫生间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外墙（外窗、幕墙）或变形缝</w:t>
            </w:r>
            <w:r>
              <w:rPr>
                <w:rFonts w:eastAsia="仿宋_GB2312" w:hint="eastAsia"/>
                <w:sz w:val="28"/>
                <w:szCs w:val="28"/>
              </w:rPr>
              <w:t>，矿山区间、人行通道、管廊等主体结构完成后出现渗漏水现象。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91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幕墙后置埋件未按规定进行拉拔试验检测。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41218">
        <w:trPr>
          <w:trHeight w:val="91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管道工程的基座施工、管道连接、管道回填质量不符合设计和规范要求。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EE06DF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1218" w:rsidRDefault="00141218">
            <w:pPr>
              <w:spacing w:line="2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141218" w:rsidRDefault="00EE06DF" w:rsidP="008D17F5">
      <w:pPr>
        <w:ind w:firstLineChars="100" w:firstLine="272"/>
        <w:rPr>
          <w:rFonts w:ascii="仿宋_GB2312" w:eastAsia="仿宋_GB2312"/>
          <w:color w:val="000000"/>
          <w:sz w:val="28"/>
          <w:szCs w:val="28"/>
        </w:rPr>
      </w:pPr>
      <w:bookmarkStart w:id="9" w:name="_GoBack"/>
      <w:bookmarkEnd w:id="0"/>
      <w:bookmarkEnd w:id="9"/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 xml:space="preserve">     </w:t>
      </w:r>
    </w:p>
    <w:sectPr w:rsidR="00141218">
      <w:footerReference w:type="default" r:id="rId16"/>
      <w:pgSz w:w="11906" w:h="16838"/>
      <w:pgMar w:top="2098" w:right="1474" w:bottom="1984" w:left="1588" w:header="1134" w:footer="1417" w:gutter="0"/>
      <w:pgNumType w:fmt="numberInDash"/>
      <w:cols w:space="0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DF" w:rsidRDefault="00EE06DF">
      <w:r>
        <w:separator/>
      </w:r>
    </w:p>
  </w:endnote>
  <w:endnote w:type="continuationSeparator" w:id="0">
    <w:p w:rsidR="00EE06DF" w:rsidRDefault="00EE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F" w:rsidRDefault="00EE06DF">
    <w:pPr>
      <w:pStyle w:val="a9"/>
      <w:framePr w:wrap="around" w:vAnchor="text" w:hAnchor="margin" w:xAlign="outside" w:y="1"/>
      <w:ind w:firstLineChars="100" w:firstLine="280"/>
      <w:rPr>
        <w:rStyle w:val="af"/>
        <w:rFonts w:ascii="宋体"/>
        <w:sz w:val="28"/>
        <w:szCs w:val="28"/>
      </w:rPr>
    </w:pPr>
    <w:r>
      <w:rPr>
        <w:rFonts w:ascii="仿宋_GB2312" w:hAnsi="仿宋_GB2312" w:cs="仿宋_GB2312" w:hint="eastAsia"/>
        <w:sz w:val="28"/>
        <w:szCs w:val="28"/>
      </w:rPr>
      <w:fldChar w:fldCharType="begin"/>
    </w:r>
    <w:r>
      <w:rPr>
        <w:rStyle w:val="af"/>
        <w:rFonts w:ascii="仿宋_GB2312" w:hAnsi="仿宋_GB2312" w:cs="仿宋_GB2312" w:hint="eastAsia"/>
        <w:sz w:val="28"/>
        <w:szCs w:val="28"/>
      </w:rPr>
      <w:instrText xml:space="preserve">PAGE  </w:instrText>
    </w:r>
    <w:r>
      <w:rPr>
        <w:rFonts w:ascii="仿宋_GB2312" w:hAnsi="仿宋_GB2312" w:cs="仿宋_GB2312" w:hint="eastAsia"/>
        <w:sz w:val="28"/>
        <w:szCs w:val="28"/>
      </w:rPr>
      <w:fldChar w:fldCharType="separate"/>
    </w:r>
    <w:r>
      <w:rPr>
        <w:rStyle w:val="af"/>
        <w:rFonts w:ascii="仿宋_GB2312" w:hAnsi="仿宋_GB2312" w:cs="仿宋_GB2312" w:hint="eastAsia"/>
        <w:sz w:val="28"/>
        <w:szCs w:val="28"/>
      </w:rPr>
      <w:t>- 2 -</w:t>
    </w:r>
    <w:r>
      <w:rPr>
        <w:rFonts w:ascii="仿宋_GB2312" w:hAnsi="仿宋_GB2312" w:cs="仿宋_GB2312" w:hint="eastAsia"/>
        <w:sz w:val="28"/>
        <w:szCs w:val="28"/>
      </w:rPr>
      <w:fldChar w:fldCharType="end"/>
    </w:r>
  </w:p>
  <w:p w:rsidR="00EE06DF" w:rsidRDefault="00EE06D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F" w:rsidRDefault="00EE06DF">
    <w:pPr>
      <w:pStyle w:val="a9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04836C" wp14:editId="1532A1A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06DF" w:rsidRDefault="00EE06DF">
                          <w:pPr>
                            <w:pStyle w:val="a9"/>
                            <w:tabs>
                              <w:tab w:val="left" w:pos="720"/>
                            </w:tabs>
                            <w:ind w:rightChars="100" w:right="320"/>
                            <w:rPr>
                              <w:rStyle w:val="af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asci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D17F5">
                            <w:rPr>
                              <w:rStyle w:val="af"/>
                              <w:rFonts w:ascii="宋体"/>
                              <w:noProof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EE06DF" w:rsidRDefault="00EE06DF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" filled="f" stroked="f">
              <v:textbox style="mso-fit-shape-to-text:t" inset="0,0,0,0">
                <w:txbxContent>
                  <w:p w:rsidR="00EE06DF" w:rsidRDefault="00EE06DF">
                    <w:pPr>
                      <w:pStyle w:val="a9"/>
                      <w:tabs>
                        <w:tab w:val="left" w:pos="720"/>
                      </w:tabs>
                      <w:ind w:rightChars="100" w:right="320"/>
                      <w:rPr>
                        <w:rStyle w:val="af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"/>
                        <w:rFonts w:asci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separate"/>
                    </w:r>
                    <w:r w:rsidR="008D17F5">
                      <w:rPr>
                        <w:rStyle w:val="af"/>
                        <w:rFonts w:ascii="宋体"/>
                        <w:noProof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EE06DF" w:rsidRDefault="00EE06DF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F" w:rsidRDefault="00EE06D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7027DC" wp14:editId="33B5F27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06DF" w:rsidRDefault="00EE06DF">
                          <w:pPr>
                            <w:pStyle w:val="a9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3eSUp6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EE06DF" w:rsidRDefault="00EE06DF">
                    <w:pPr>
                      <w:pStyle w:val="a9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F" w:rsidRDefault="00EE06DF">
    <w:pPr>
      <w:autoSpaceDE w:val="0"/>
      <w:autoSpaceDN w:val="0"/>
      <w:adjustRightInd w:val="0"/>
      <w:snapToGrid w:val="0"/>
      <w:ind w:firstLineChars="200" w:firstLine="360"/>
      <w:jc w:val="center"/>
      <w:rPr>
        <w:rFonts w:ascii="仿宋_GB2312" w:eastAsia="仿宋_GB2312" w:hAnsi="仿宋_GB2312" w:cs="仿宋_GB2312"/>
        <w:snapToGrid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DF" w:rsidRDefault="00EE06DF">
      <w:r>
        <w:separator/>
      </w:r>
    </w:p>
  </w:footnote>
  <w:footnote w:type="continuationSeparator" w:id="0">
    <w:p w:rsidR="00EE06DF" w:rsidRDefault="00EE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F" w:rsidRDefault="00EE06DF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F" w:rsidRDefault="00EE06DF">
    <w:pPr>
      <w:pStyle w:val="aa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6DF" w:rsidRDefault="00EE06DF">
    <w:pPr>
      <w:pStyle w:val="aa"/>
      <w:pBdr>
        <w:bottom w:val="none" w:sz="0" w:space="0" w:color="auto"/>
      </w:pBdr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B0E7"/>
    <w:multiLevelType w:val="singleLevel"/>
    <w:tmpl w:val="3A78B0E7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20"/>
  <w:drawingGridHorizontalSpacing w:val="158"/>
  <w:drawingGridVerticalSpacing w:val="221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F"/>
    <w:rsid w:val="87D76B72"/>
    <w:rsid w:val="93FBEA26"/>
    <w:rsid w:val="9E7C3376"/>
    <w:rsid w:val="9FDE1035"/>
    <w:rsid w:val="9FEF6AE1"/>
    <w:rsid w:val="A7BE1039"/>
    <w:rsid w:val="AEFF0272"/>
    <w:rsid w:val="AFB50CB7"/>
    <w:rsid w:val="B56FCB95"/>
    <w:rsid w:val="B7FE75E5"/>
    <w:rsid w:val="BBBF0263"/>
    <w:rsid w:val="BBEE79B6"/>
    <w:rsid w:val="BBF1E093"/>
    <w:rsid w:val="BD3629EA"/>
    <w:rsid w:val="BDFF3C64"/>
    <w:rsid w:val="BEF446FF"/>
    <w:rsid w:val="BFFF48A7"/>
    <w:rsid w:val="C6F4B146"/>
    <w:rsid w:val="C7EFFA18"/>
    <w:rsid w:val="C7FB4F1C"/>
    <w:rsid w:val="CEBFBEE4"/>
    <w:rsid w:val="CFE7BE98"/>
    <w:rsid w:val="D37F4AD2"/>
    <w:rsid w:val="D4BEF7EE"/>
    <w:rsid w:val="D7AE8F84"/>
    <w:rsid w:val="D9FE0C56"/>
    <w:rsid w:val="DBEF5024"/>
    <w:rsid w:val="DF8FECD5"/>
    <w:rsid w:val="DFAFB670"/>
    <w:rsid w:val="DFBF08F7"/>
    <w:rsid w:val="DFEC0611"/>
    <w:rsid w:val="E7618FB2"/>
    <w:rsid w:val="E9B47131"/>
    <w:rsid w:val="EA3778D1"/>
    <w:rsid w:val="EBE5B5C6"/>
    <w:rsid w:val="EBFF37D3"/>
    <w:rsid w:val="EDFF39DC"/>
    <w:rsid w:val="EFB6FF2C"/>
    <w:rsid w:val="EFFBF6D5"/>
    <w:rsid w:val="EFFF5CA1"/>
    <w:rsid w:val="F2BF686B"/>
    <w:rsid w:val="F4CD2528"/>
    <w:rsid w:val="F4FE9334"/>
    <w:rsid w:val="F5EB53A5"/>
    <w:rsid w:val="F77F8702"/>
    <w:rsid w:val="F79AB77F"/>
    <w:rsid w:val="F7B3571A"/>
    <w:rsid w:val="F7DEC9F0"/>
    <w:rsid w:val="F9911F4E"/>
    <w:rsid w:val="FB7F39C6"/>
    <w:rsid w:val="FBDFD8ED"/>
    <w:rsid w:val="FBF23791"/>
    <w:rsid w:val="FBF6A95E"/>
    <w:rsid w:val="FDB9F1DD"/>
    <w:rsid w:val="FDEFEEF6"/>
    <w:rsid w:val="FDF7BCC7"/>
    <w:rsid w:val="FDFB1704"/>
    <w:rsid w:val="FDFBD361"/>
    <w:rsid w:val="FECD461B"/>
    <w:rsid w:val="FED75B53"/>
    <w:rsid w:val="FEE7C034"/>
    <w:rsid w:val="FEEFA4DE"/>
    <w:rsid w:val="FEFD1DB7"/>
    <w:rsid w:val="FF3EC56E"/>
    <w:rsid w:val="FFDF1BE6"/>
    <w:rsid w:val="FFE3AE93"/>
    <w:rsid w:val="FFECF05E"/>
    <w:rsid w:val="FFF3B4C6"/>
    <w:rsid w:val="FFF703B9"/>
    <w:rsid w:val="FFFF5755"/>
    <w:rsid w:val="00031C74"/>
    <w:rsid w:val="0007153C"/>
    <w:rsid w:val="000B35E9"/>
    <w:rsid w:val="000C2A20"/>
    <w:rsid w:val="000E136F"/>
    <w:rsid w:val="000E4EC9"/>
    <w:rsid w:val="00115B2F"/>
    <w:rsid w:val="00120220"/>
    <w:rsid w:val="00126D94"/>
    <w:rsid w:val="00141218"/>
    <w:rsid w:val="001503EE"/>
    <w:rsid w:val="0017546A"/>
    <w:rsid w:val="00175F2C"/>
    <w:rsid w:val="00186A22"/>
    <w:rsid w:val="001A4AC5"/>
    <w:rsid w:val="001A5D60"/>
    <w:rsid w:val="001B7F76"/>
    <w:rsid w:val="00205AFF"/>
    <w:rsid w:val="00282718"/>
    <w:rsid w:val="0029334B"/>
    <w:rsid w:val="00297B24"/>
    <w:rsid w:val="00301E65"/>
    <w:rsid w:val="00313766"/>
    <w:rsid w:val="00327AEC"/>
    <w:rsid w:val="003360FA"/>
    <w:rsid w:val="0034475C"/>
    <w:rsid w:val="00372332"/>
    <w:rsid w:val="00381CC3"/>
    <w:rsid w:val="003B7B04"/>
    <w:rsid w:val="003C00D4"/>
    <w:rsid w:val="003C643F"/>
    <w:rsid w:val="003D3B77"/>
    <w:rsid w:val="003D45B0"/>
    <w:rsid w:val="003D543B"/>
    <w:rsid w:val="003E04E0"/>
    <w:rsid w:val="004102C9"/>
    <w:rsid w:val="004257E3"/>
    <w:rsid w:val="00430B61"/>
    <w:rsid w:val="00450DEB"/>
    <w:rsid w:val="004520BC"/>
    <w:rsid w:val="00457087"/>
    <w:rsid w:val="004E640B"/>
    <w:rsid w:val="0055763C"/>
    <w:rsid w:val="005847ED"/>
    <w:rsid w:val="005A1D96"/>
    <w:rsid w:val="006124FF"/>
    <w:rsid w:val="0064053D"/>
    <w:rsid w:val="0064195C"/>
    <w:rsid w:val="006920C1"/>
    <w:rsid w:val="006B0777"/>
    <w:rsid w:val="006D131B"/>
    <w:rsid w:val="006D2947"/>
    <w:rsid w:val="00717C8A"/>
    <w:rsid w:val="0072441A"/>
    <w:rsid w:val="00731560"/>
    <w:rsid w:val="0075648D"/>
    <w:rsid w:val="0078017E"/>
    <w:rsid w:val="007963E3"/>
    <w:rsid w:val="007D0556"/>
    <w:rsid w:val="007F50B6"/>
    <w:rsid w:val="00812BEC"/>
    <w:rsid w:val="008143E3"/>
    <w:rsid w:val="00832736"/>
    <w:rsid w:val="008A3E1E"/>
    <w:rsid w:val="008D17F5"/>
    <w:rsid w:val="00903B29"/>
    <w:rsid w:val="00911E48"/>
    <w:rsid w:val="00917C58"/>
    <w:rsid w:val="00933084"/>
    <w:rsid w:val="00945470"/>
    <w:rsid w:val="009A1AE9"/>
    <w:rsid w:val="009D1374"/>
    <w:rsid w:val="009E3BC2"/>
    <w:rsid w:val="009F1331"/>
    <w:rsid w:val="00A01F9E"/>
    <w:rsid w:val="00A13BE2"/>
    <w:rsid w:val="00A21399"/>
    <w:rsid w:val="00A456EB"/>
    <w:rsid w:val="00A462D8"/>
    <w:rsid w:val="00A547F9"/>
    <w:rsid w:val="00A670D0"/>
    <w:rsid w:val="00AA0CD3"/>
    <w:rsid w:val="00B020ED"/>
    <w:rsid w:val="00B15D2B"/>
    <w:rsid w:val="00B52C75"/>
    <w:rsid w:val="00B6629F"/>
    <w:rsid w:val="00B957A1"/>
    <w:rsid w:val="00BC04D9"/>
    <w:rsid w:val="00BC35E6"/>
    <w:rsid w:val="00BC438B"/>
    <w:rsid w:val="00BC5517"/>
    <w:rsid w:val="00BF7300"/>
    <w:rsid w:val="00C16857"/>
    <w:rsid w:val="00C236EA"/>
    <w:rsid w:val="00C41DF1"/>
    <w:rsid w:val="00C547FE"/>
    <w:rsid w:val="00C75EA2"/>
    <w:rsid w:val="00C93964"/>
    <w:rsid w:val="00CB47EC"/>
    <w:rsid w:val="00D83963"/>
    <w:rsid w:val="00D8675D"/>
    <w:rsid w:val="00DA24DD"/>
    <w:rsid w:val="00DB5E1B"/>
    <w:rsid w:val="00DF597B"/>
    <w:rsid w:val="00E33895"/>
    <w:rsid w:val="00E6161E"/>
    <w:rsid w:val="00EA24BE"/>
    <w:rsid w:val="00EB3705"/>
    <w:rsid w:val="00EB6361"/>
    <w:rsid w:val="00ED0503"/>
    <w:rsid w:val="00ED0AB6"/>
    <w:rsid w:val="00EE06DF"/>
    <w:rsid w:val="00F01361"/>
    <w:rsid w:val="00F12747"/>
    <w:rsid w:val="00F65AEE"/>
    <w:rsid w:val="00F81541"/>
    <w:rsid w:val="00F84323"/>
    <w:rsid w:val="0179563C"/>
    <w:rsid w:val="173A321E"/>
    <w:rsid w:val="17FE5987"/>
    <w:rsid w:val="1CDC7A54"/>
    <w:rsid w:val="1FFF3DF5"/>
    <w:rsid w:val="25FD8E3E"/>
    <w:rsid w:val="27A9EEED"/>
    <w:rsid w:val="2BEE7B90"/>
    <w:rsid w:val="2EFF5ED7"/>
    <w:rsid w:val="2FE39AAF"/>
    <w:rsid w:val="2FF94F06"/>
    <w:rsid w:val="30CAA947"/>
    <w:rsid w:val="327F56B6"/>
    <w:rsid w:val="33BA18FA"/>
    <w:rsid w:val="351F8AC1"/>
    <w:rsid w:val="367B2435"/>
    <w:rsid w:val="37B986B2"/>
    <w:rsid w:val="37C5823E"/>
    <w:rsid w:val="3CDFF269"/>
    <w:rsid w:val="3DFF84F9"/>
    <w:rsid w:val="3F178311"/>
    <w:rsid w:val="3FB74CD0"/>
    <w:rsid w:val="3FC690BA"/>
    <w:rsid w:val="3FC6B687"/>
    <w:rsid w:val="3FD17155"/>
    <w:rsid w:val="3FF43C9B"/>
    <w:rsid w:val="48835F56"/>
    <w:rsid w:val="4970CEF6"/>
    <w:rsid w:val="4B6ED59D"/>
    <w:rsid w:val="4BAF50B5"/>
    <w:rsid w:val="4D1F7576"/>
    <w:rsid w:val="4EDF6C4F"/>
    <w:rsid w:val="4FF7A74C"/>
    <w:rsid w:val="575F55FB"/>
    <w:rsid w:val="57773360"/>
    <w:rsid w:val="5ADD11BA"/>
    <w:rsid w:val="5BFFB7A0"/>
    <w:rsid w:val="5D5F2BFE"/>
    <w:rsid w:val="5DFE05EE"/>
    <w:rsid w:val="5F6EF7EE"/>
    <w:rsid w:val="5F7AEC13"/>
    <w:rsid w:val="5F7F90C1"/>
    <w:rsid w:val="5F9E58C8"/>
    <w:rsid w:val="5FEFCBB9"/>
    <w:rsid w:val="63AEDA4E"/>
    <w:rsid w:val="66E7D39D"/>
    <w:rsid w:val="67F54AD1"/>
    <w:rsid w:val="68BFE0FD"/>
    <w:rsid w:val="6D6F4FA0"/>
    <w:rsid w:val="6D7B0E0D"/>
    <w:rsid w:val="6ECB2C40"/>
    <w:rsid w:val="6FAB58B4"/>
    <w:rsid w:val="6FDE9886"/>
    <w:rsid w:val="6FED7D0E"/>
    <w:rsid w:val="6FEFA767"/>
    <w:rsid w:val="6FFBF107"/>
    <w:rsid w:val="73ED52EF"/>
    <w:rsid w:val="74FFF79A"/>
    <w:rsid w:val="7611F12F"/>
    <w:rsid w:val="76DC30DF"/>
    <w:rsid w:val="76F50DC1"/>
    <w:rsid w:val="76F551FE"/>
    <w:rsid w:val="76F7F137"/>
    <w:rsid w:val="7777F5AB"/>
    <w:rsid w:val="77D7B8D7"/>
    <w:rsid w:val="77E7D3B6"/>
    <w:rsid w:val="79CB5FCA"/>
    <w:rsid w:val="79FF0398"/>
    <w:rsid w:val="7A1E7469"/>
    <w:rsid w:val="7B5F17DF"/>
    <w:rsid w:val="7B7679D6"/>
    <w:rsid w:val="7BD72FF4"/>
    <w:rsid w:val="7CFB8359"/>
    <w:rsid w:val="7CFF94CB"/>
    <w:rsid w:val="7D7FAF58"/>
    <w:rsid w:val="7DDF151F"/>
    <w:rsid w:val="7DDF7B89"/>
    <w:rsid w:val="7DE18C03"/>
    <w:rsid w:val="7EABBED7"/>
    <w:rsid w:val="7EBBE79B"/>
    <w:rsid w:val="7EBF24A9"/>
    <w:rsid w:val="7EBF3E86"/>
    <w:rsid w:val="7EDFEFCB"/>
    <w:rsid w:val="7EEF4E43"/>
    <w:rsid w:val="7EFA52A2"/>
    <w:rsid w:val="7EFE76C9"/>
    <w:rsid w:val="7F37C9C6"/>
    <w:rsid w:val="7F540D2C"/>
    <w:rsid w:val="7F7B119A"/>
    <w:rsid w:val="7F7D7B06"/>
    <w:rsid w:val="7F7F368A"/>
    <w:rsid w:val="7F8C9E97"/>
    <w:rsid w:val="7FB6A4C5"/>
    <w:rsid w:val="7FBF6ACE"/>
    <w:rsid w:val="7FBFC717"/>
    <w:rsid w:val="7FCF71A7"/>
    <w:rsid w:val="7FD6D9AA"/>
    <w:rsid w:val="7FF7331F"/>
    <w:rsid w:val="7FFD0131"/>
    <w:rsid w:val="7FFD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index 8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Bullet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32"/>
      <w:szCs w:val="32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4">
    <w:name w:val="heading 4"/>
    <w:basedOn w:val="a0"/>
    <w:next w:val="a0"/>
    <w:qFormat/>
    <w:pPr>
      <w:spacing w:beforeAutospacing="1" w:afterAutospacing="1"/>
      <w:jc w:val="left"/>
      <w:outlineLvl w:val="3"/>
    </w:pPr>
    <w:rPr>
      <w:rFonts w:ascii="宋体" w:hAnsi="宋体" w:hint="eastAsia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">
    <w:name w:val="index 8"/>
    <w:basedOn w:val="a0"/>
    <w:next w:val="a0"/>
    <w:uiPriority w:val="99"/>
    <w:unhideWhenUsed/>
    <w:qFormat/>
    <w:pPr>
      <w:spacing w:before="100" w:beforeAutospacing="1" w:after="100" w:afterAutospacing="1"/>
      <w:ind w:leftChars="1400" w:left="1400"/>
    </w:pPr>
    <w:rPr>
      <w:rFonts w:ascii="Calibri" w:hAnsi="Calibri" w:cs="Calibri"/>
      <w:szCs w:val="21"/>
    </w:rPr>
  </w:style>
  <w:style w:type="paragraph" w:styleId="5">
    <w:name w:val="index 5"/>
    <w:next w:val="a0"/>
    <w:uiPriority w:val="99"/>
    <w:unhideWhenUsed/>
    <w:qFormat/>
    <w:pPr>
      <w:widowControl w:val="0"/>
      <w:ind w:leftChars="800" w:left="800"/>
      <w:jc w:val="both"/>
    </w:pPr>
    <w:rPr>
      <w:rFonts w:eastAsia="仿宋_GB2312"/>
      <w:kern w:val="2"/>
      <w:sz w:val="32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4">
    <w:name w:val="annotation text"/>
    <w:basedOn w:val="a0"/>
    <w:qFormat/>
    <w:pPr>
      <w:jc w:val="left"/>
    </w:pPr>
  </w:style>
  <w:style w:type="paragraph" w:styleId="a5">
    <w:name w:val="Body Text"/>
    <w:basedOn w:val="a0"/>
    <w:uiPriority w:val="99"/>
    <w:unhideWhenUsed/>
    <w:qFormat/>
    <w:pPr>
      <w:spacing w:after="120"/>
    </w:pPr>
  </w:style>
  <w:style w:type="paragraph" w:styleId="a6">
    <w:name w:val="Body Text Indent"/>
    <w:basedOn w:val="a0"/>
    <w:qFormat/>
    <w:pPr>
      <w:spacing w:line="620" w:lineRule="exact"/>
      <w:ind w:firstLine="640"/>
    </w:pPr>
    <w:rPr>
      <w:rFonts w:ascii="仿宋_GB2312" w:eastAsia="仿宋_GB2312"/>
    </w:rPr>
  </w:style>
  <w:style w:type="paragraph" w:styleId="a7">
    <w:name w:val="Date"/>
    <w:basedOn w:val="a0"/>
    <w:next w:val="a0"/>
    <w:link w:val="Char"/>
    <w:qFormat/>
    <w:pPr>
      <w:ind w:leftChars="2500" w:left="100"/>
    </w:pPr>
  </w:style>
  <w:style w:type="paragraph" w:styleId="a8">
    <w:name w:val="Balloon Text"/>
    <w:basedOn w:val="a0"/>
    <w:next w:val="311"/>
    <w:semiHidden/>
    <w:qFormat/>
    <w:rPr>
      <w:sz w:val="18"/>
      <w:szCs w:val="18"/>
    </w:rPr>
  </w:style>
  <w:style w:type="paragraph" w:customStyle="1" w:styleId="311">
    <w:name w:val="正文缩进311"/>
    <w:next w:val="a0"/>
    <w:qFormat/>
    <w:pPr>
      <w:wordWrap w:val="0"/>
      <w:ind w:left="3400"/>
      <w:jc w:val="both"/>
    </w:pPr>
    <w:rPr>
      <w:rFonts w:eastAsia="仿宋"/>
      <w:sz w:val="21"/>
      <w:szCs w:val="22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a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b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ody Text First Indent"/>
    <w:basedOn w:val="a5"/>
    <w:next w:val="a0"/>
    <w:qFormat/>
    <w:pPr>
      <w:spacing w:line="312" w:lineRule="auto"/>
      <w:ind w:firstLine="420"/>
    </w:pPr>
    <w:rPr>
      <w:color w:val="000000"/>
      <w:kern w:val="1"/>
    </w:rPr>
  </w:style>
  <w:style w:type="paragraph" w:styleId="20">
    <w:name w:val="Body Text First Indent 2"/>
    <w:basedOn w:val="a6"/>
    <w:qFormat/>
    <w:pPr>
      <w:ind w:firstLine="40"/>
    </w:pPr>
    <w:rPr>
      <w:rFonts w:eastAsia="仿宋" w:hAnsi="仿宋_GB2312" w:cs="仿宋_GB2312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e">
    <w:name w:val="Strong"/>
    <w:basedOn w:val="a1"/>
    <w:qFormat/>
    <w:rPr>
      <w:b/>
    </w:rPr>
  </w:style>
  <w:style w:type="character" w:styleId="af">
    <w:name w:val="page number"/>
    <w:basedOn w:val="a1"/>
    <w:qFormat/>
  </w:style>
  <w:style w:type="character" w:styleId="af0">
    <w:name w:val="Emphasis"/>
    <w:qFormat/>
  </w:style>
  <w:style w:type="character" w:styleId="af1">
    <w:name w:val="Hyperlink"/>
    <w:qFormat/>
    <w:rPr>
      <w:color w:val="0000FF"/>
      <w:u w:val="single"/>
    </w:rPr>
  </w:style>
  <w:style w:type="paragraph" w:customStyle="1" w:styleId="10">
    <w:name w:val="1.正文"/>
    <w:basedOn w:val="a0"/>
    <w:next w:val="ac"/>
    <w:uiPriority w:val="99"/>
    <w:qFormat/>
    <w:rPr>
      <w:rFonts w:ascii="仿宋_GB2312" w:eastAsia="仿宋_GB2312" w:hAnsi="Calibri" w:cs="仿宋_GB2312"/>
      <w:szCs w:val="22"/>
    </w:rPr>
  </w:style>
  <w:style w:type="character" w:customStyle="1" w:styleId="Char">
    <w:name w:val="日期 Char"/>
    <w:link w:val="a7"/>
    <w:qFormat/>
    <w:rPr>
      <w:kern w:val="2"/>
      <w:sz w:val="21"/>
      <w:szCs w:val="24"/>
    </w:rPr>
  </w:style>
  <w:style w:type="paragraph" w:customStyle="1" w:styleId="21">
    <w:name w:val="正文2"/>
    <w:basedOn w:val="a0"/>
    <w:next w:val="a0"/>
    <w:qFormat/>
    <w:pPr>
      <w:snapToGrid w:val="0"/>
      <w:spacing w:line="520" w:lineRule="exact"/>
      <w:ind w:firstLine="200"/>
      <w:jc w:val="left"/>
      <w:outlineLvl w:val="3"/>
    </w:pPr>
    <w:rPr>
      <w:rFonts w:ascii="宋体" w:hAnsi="宋体"/>
      <w:kern w:val="0"/>
    </w:rPr>
  </w:style>
  <w:style w:type="paragraph" w:customStyle="1" w:styleId="CharCharCharCharCharChar1Char">
    <w:name w:val="Char Char Char Char Char Char1 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1">
    <w:name w:val="列出段落1"/>
    <w:basedOn w:val="a0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普通(网站)1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3">
    <w:name w:val="正文文本1"/>
    <w:basedOn w:val="a0"/>
    <w:qFormat/>
    <w:pPr>
      <w:spacing w:after="120"/>
    </w:pPr>
  </w:style>
  <w:style w:type="paragraph" w:customStyle="1" w:styleId="14">
    <w:name w:val="页脚1"/>
    <w:basedOn w:val="a0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customStyle="1" w:styleId="15">
    <w:name w:val="页眉1"/>
    <w:basedOn w:val="a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0"/>
    <w:next w:val="8"/>
    <w:qFormat/>
    <w:pPr>
      <w:widowControl/>
      <w:spacing w:before="100" w:beforeAutospacing="1" w:after="100" w:afterAutospacing="1"/>
      <w:jc w:val="left"/>
    </w:pPr>
    <w:rPr>
      <w:rFonts w:ascii="宋体" w:eastAsia="Times New Roman" w:hAnsi="宋体" w:cs="宋体"/>
      <w:kern w:val="0"/>
      <w:sz w:val="24"/>
    </w:rPr>
  </w:style>
  <w:style w:type="character" w:customStyle="1" w:styleId="unnamed11">
    <w:name w:val="unnamed11"/>
    <w:qFormat/>
    <w:rPr>
      <w:rFonts w:ascii="宋体" w:eastAsia="宋体" w:hAnsi="宋体" w:hint="eastAsia"/>
      <w:sz w:val="21"/>
      <w:szCs w:val="21"/>
    </w:rPr>
  </w:style>
  <w:style w:type="paragraph" w:customStyle="1" w:styleId="BodyText1I2">
    <w:name w:val="BodyText1I2"/>
    <w:basedOn w:val="BodyTextIndent"/>
    <w:qFormat/>
    <w:pPr>
      <w:widowControl/>
      <w:ind w:firstLine="40"/>
    </w:pPr>
    <w:rPr>
      <w:rFonts w:ascii="仿宋_GB2312" w:eastAsia="仿宋_GB2312" w:hAnsi="Calibri"/>
    </w:rPr>
  </w:style>
  <w:style w:type="paragraph" w:customStyle="1" w:styleId="BodyTextIndent">
    <w:name w:val="BodyTextIndent"/>
    <w:basedOn w:val="a0"/>
    <w:next w:val="a0"/>
    <w:uiPriority w:val="99"/>
    <w:qFormat/>
    <w:pPr>
      <w:spacing w:after="120"/>
      <w:ind w:leftChars="200" w:left="200"/>
      <w:textAlignment w:val="baseline"/>
    </w:pPr>
  </w:style>
  <w:style w:type="character" w:customStyle="1" w:styleId="150">
    <w:name w:val="15"/>
    <w:basedOn w:val="a1"/>
    <w:qFormat/>
    <w:rPr>
      <w:rFonts w:ascii="黑体" w:eastAsia="黑体" w:hAnsi="黑体" w:hint="eastAsia"/>
    </w:rPr>
  </w:style>
  <w:style w:type="paragraph" w:customStyle="1" w:styleId="16">
    <w:name w:val="列出段落1"/>
    <w:basedOn w:val="a0"/>
    <w:uiPriority w:val="34"/>
    <w:qFormat/>
    <w:pPr>
      <w:ind w:firstLineChars="200" w:firstLine="420"/>
    </w:pPr>
  </w:style>
  <w:style w:type="paragraph" w:customStyle="1" w:styleId="17">
    <w:name w:val="样式 标题 1 + (符号) 宋体"/>
    <w:basedOn w:val="1"/>
    <w:qFormat/>
    <w:rPr>
      <w:b w:val="0"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customStyle="1" w:styleId="af2">
    <w:name w:val="非政府正文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">
    <w:name w:val="样式2"/>
    <w:qFormat/>
    <w:pPr>
      <w:widowControl w:val="0"/>
      <w:ind w:rightChars="-47" w:right="-47" w:firstLine="200"/>
      <w:jc w:val="both"/>
    </w:pPr>
    <w:rPr>
      <w:rFonts w:ascii="Calibri" w:hAnsi="Calibri"/>
      <w:bCs/>
      <w:kern w:val="2"/>
      <w:sz w:val="21"/>
      <w:szCs w:val="28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semiHidden/>
    <w:qFormat/>
    <w:pPr>
      <w:widowControl w:val="0"/>
      <w:jc w:val="both"/>
    </w:pPr>
    <w:rPr>
      <w:rFonts w:ascii="FangSong" w:eastAsia="FangSong" w:hAnsi="FangSong" w:cs="FangSong"/>
      <w:kern w:val="2"/>
      <w:sz w:val="23"/>
      <w:szCs w:val="23"/>
      <w:lang w:eastAsia="en-US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index 8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Bullet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Dat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32"/>
      <w:szCs w:val="32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4">
    <w:name w:val="heading 4"/>
    <w:basedOn w:val="a0"/>
    <w:next w:val="a0"/>
    <w:qFormat/>
    <w:pPr>
      <w:spacing w:beforeAutospacing="1" w:afterAutospacing="1"/>
      <w:jc w:val="left"/>
      <w:outlineLvl w:val="3"/>
    </w:pPr>
    <w:rPr>
      <w:rFonts w:ascii="宋体" w:hAnsi="宋体" w:hint="eastAsia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">
    <w:name w:val="index 8"/>
    <w:basedOn w:val="a0"/>
    <w:next w:val="a0"/>
    <w:uiPriority w:val="99"/>
    <w:unhideWhenUsed/>
    <w:qFormat/>
    <w:pPr>
      <w:spacing w:before="100" w:beforeAutospacing="1" w:after="100" w:afterAutospacing="1"/>
      <w:ind w:leftChars="1400" w:left="1400"/>
    </w:pPr>
    <w:rPr>
      <w:rFonts w:ascii="Calibri" w:hAnsi="Calibri" w:cs="Calibri"/>
      <w:szCs w:val="21"/>
    </w:rPr>
  </w:style>
  <w:style w:type="paragraph" w:styleId="5">
    <w:name w:val="index 5"/>
    <w:next w:val="a0"/>
    <w:uiPriority w:val="99"/>
    <w:unhideWhenUsed/>
    <w:qFormat/>
    <w:pPr>
      <w:widowControl w:val="0"/>
      <w:ind w:leftChars="800" w:left="800"/>
      <w:jc w:val="both"/>
    </w:pPr>
    <w:rPr>
      <w:rFonts w:eastAsia="仿宋_GB2312"/>
      <w:kern w:val="2"/>
      <w:sz w:val="32"/>
    </w:rPr>
  </w:style>
  <w:style w:type="paragraph" w:styleId="a">
    <w:name w:val="List Bullet"/>
    <w:basedOn w:val="a0"/>
    <w:qFormat/>
    <w:pPr>
      <w:numPr>
        <w:numId w:val="1"/>
      </w:numPr>
    </w:pPr>
  </w:style>
  <w:style w:type="paragraph" w:styleId="a4">
    <w:name w:val="annotation text"/>
    <w:basedOn w:val="a0"/>
    <w:qFormat/>
    <w:pPr>
      <w:jc w:val="left"/>
    </w:pPr>
  </w:style>
  <w:style w:type="paragraph" w:styleId="a5">
    <w:name w:val="Body Text"/>
    <w:basedOn w:val="a0"/>
    <w:uiPriority w:val="99"/>
    <w:unhideWhenUsed/>
    <w:qFormat/>
    <w:pPr>
      <w:spacing w:after="120"/>
    </w:pPr>
  </w:style>
  <w:style w:type="paragraph" w:styleId="a6">
    <w:name w:val="Body Text Indent"/>
    <w:basedOn w:val="a0"/>
    <w:qFormat/>
    <w:pPr>
      <w:spacing w:line="620" w:lineRule="exact"/>
      <w:ind w:firstLine="640"/>
    </w:pPr>
    <w:rPr>
      <w:rFonts w:ascii="仿宋_GB2312" w:eastAsia="仿宋_GB2312"/>
    </w:rPr>
  </w:style>
  <w:style w:type="paragraph" w:styleId="a7">
    <w:name w:val="Date"/>
    <w:basedOn w:val="a0"/>
    <w:next w:val="a0"/>
    <w:link w:val="Char"/>
    <w:qFormat/>
    <w:pPr>
      <w:ind w:leftChars="2500" w:left="100"/>
    </w:pPr>
  </w:style>
  <w:style w:type="paragraph" w:styleId="a8">
    <w:name w:val="Balloon Text"/>
    <w:basedOn w:val="a0"/>
    <w:next w:val="311"/>
    <w:semiHidden/>
    <w:qFormat/>
    <w:rPr>
      <w:sz w:val="18"/>
      <w:szCs w:val="18"/>
    </w:rPr>
  </w:style>
  <w:style w:type="paragraph" w:customStyle="1" w:styleId="311">
    <w:name w:val="正文缩进311"/>
    <w:next w:val="a0"/>
    <w:qFormat/>
    <w:pPr>
      <w:wordWrap w:val="0"/>
      <w:ind w:left="3400"/>
      <w:jc w:val="both"/>
    </w:pPr>
    <w:rPr>
      <w:rFonts w:eastAsia="仿宋"/>
      <w:sz w:val="21"/>
      <w:szCs w:val="22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paragraph" w:styleId="aa">
    <w:name w:val="header"/>
    <w:basedOn w:val="a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b">
    <w:name w:val="Normal (Web)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ody Text First Indent"/>
    <w:basedOn w:val="a5"/>
    <w:next w:val="a0"/>
    <w:qFormat/>
    <w:pPr>
      <w:spacing w:line="312" w:lineRule="auto"/>
      <w:ind w:firstLine="420"/>
    </w:pPr>
    <w:rPr>
      <w:color w:val="000000"/>
      <w:kern w:val="1"/>
    </w:rPr>
  </w:style>
  <w:style w:type="paragraph" w:styleId="20">
    <w:name w:val="Body Text First Indent 2"/>
    <w:basedOn w:val="a6"/>
    <w:qFormat/>
    <w:pPr>
      <w:ind w:firstLine="40"/>
    </w:pPr>
    <w:rPr>
      <w:rFonts w:eastAsia="仿宋" w:hAnsi="仿宋_GB2312" w:cs="仿宋_GB2312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0"/>
    <w:qFormat/>
    <w:rPr>
      <w:rFonts w:ascii="Verdana" w:eastAsia="仿宋_GB2312" w:hAnsi="Verdana"/>
      <w:kern w:val="0"/>
      <w:sz w:val="24"/>
      <w:szCs w:val="20"/>
      <w:lang w:eastAsia="en-US"/>
    </w:rPr>
  </w:style>
  <w:style w:type="character" w:styleId="ae">
    <w:name w:val="Strong"/>
    <w:basedOn w:val="a1"/>
    <w:qFormat/>
    <w:rPr>
      <w:b/>
    </w:rPr>
  </w:style>
  <w:style w:type="character" w:styleId="af">
    <w:name w:val="page number"/>
    <w:basedOn w:val="a1"/>
    <w:qFormat/>
  </w:style>
  <w:style w:type="character" w:styleId="af0">
    <w:name w:val="Emphasis"/>
    <w:qFormat/>
  </w:style>
  <w:style w:type="character" w:styleId="af1">
    <w:name w:val="Hyperlink"/>
    <w:qFormat/>
    <w:rPr>
      <w:color w:val="0000FF"/>
      <w:u w:val="single"/>
    </w:rPr>
  </w:style>
  <w:style w:type="paragraph" w:customStyle="1" w:styleId="10">
    <w:name w:val="1.正文"/>
    <w:basedOn w:val="a0"/>
    <w:next w:val="ac"/>
    <w:uiPriority w:val="99"/>
    <w:qFormat/>
    <w:rPr>
      <w:rFonts w:ascii="仿宋_GB2312" w:eastAsia="仿宋_GB2312" w:hAnsi="Calibri" w:cs="仿宋_GB2312"/>
      <w:szCs w:val="22"/>
    </w:rPr>
  </w:style>
  <w:style w:type="character" w:customStyle="1" w:styleId="Char">
    <w:name w:val="日期 Char"/>
    <w:link w:val="a7"/>
    <w:qFormat/>
    <w:rPr>
      <w:kern w:val="2"/>
      <w:sz w:val="21"/>
      <w:szCs w:val="24"/>
    </w:rPr>
  </w:style>
  <w:style w:type="paragraph" w:customStyle="1" w:styleId="21">
    <w:name w:val="正文2"/>
    <w:basedOn w:val="a0"/>
    <w:next w:val="a0"/>
    <w:qFormat/>
    <w:pPr>
      <w:snapToGrid w:val="0"/>
      <w:spacing w:line="520" w:lineRule="exact"/>
      <w:ind w:firstLine="200"/>
      <w:jc w:val="left"/>
      <w:outlineLvl w:val="3"/>
    </w:pPr>
    <w:rPr>
      <w:rFonts w:ascii="宋体" w:hAnsi="宋体"/>
      <w:kern w:val="0"/>
    </w:rPr>
  </w:style>
  <w:style w:type="paragraph" w:customStyle="1" w:styleId="CharCharCharCharCharChar1Char">
    <w:name w:val="Char Char Char Char Char Char1 Char"/>
    <w:basedOn w:val="a0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1">
    <w:name w:val="列出段落1"/>
    <w:basedOn w:val="a0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2">
    <w:name w:val="普通(网站)1"/>
    <w:basedOn w:val="a0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3">
    <w:name w:val="正文文本1"/>
    <w:basedOn w:val="a0"/>
    <w:qFormat/>
    <w:pPr>
      <w:spacing w:after="120"/>
    </w:pPr>
  </w:style>
  <w:style w:type="paragraph" w:customStyle="1" w:styleId="14">
    <w:name w:val="页脚1"/>
    <w:basedOn w:val="a0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customStyle="1" w:styleId="15">
    <w:name w:val="页眉1"/>
    <w:basedOn w:val="a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0"/>
    <w:next w:val="8"/>
    <w:qFormat/>
    <w:pPr>
      <w:widowControl/>
      <w:spacing w:before="100" w:beforeAutospacing="1" w:after="100" w:afterAutospacing="1"/>
      <w:jc w:val="left"/>
    </w:pPr>
    <w:rPr>
      <w:rFonts w:ascii="宋体" w:eastAsia="Times New Roman" w:hAnsi="宋体" w:cs="宋体"/>
      <w:kern w:val="0"/>
      <w:sz w:val="24"/>
    </w:rPr>
  </w:style>
  <w:style w:type="character" w:customStyle="1" w:styleId="unnamed11">
    <w:name w:val="unnamed11"/>
    <w:qFormat/>
    <w:rPr>
      <w:rFonts w:ascii="宋体" w:eastAsia="宋体" w:hAnsi="宋体" w:hint="eastAsia"/>
      <w:sz w:val="21"/>
      <w:szCs w:val="21"/>
    </w:rPr>
  </w:style>
  <w:style w:type="paragraph" w:customStyle="1" w:styleId="BodyText1I2">
    <w:name w:val="BodyText1I2"/>
    <w:basedOn w:val="BodyTextIndent"/>
    <w:qFormat/>
    <w:pPr>
      <w:widowControl/>
      <w:ind w:firstLine="40"/>
    </w:pPr>
    <w:rPr>
      <w:rFonts w:ascii="仿宋_GB2312" w:eastAsia="仿宋_GB2312" w:hAnsi="Calibri"/>
    </w:rPr>
  </w:style>
  <w:style w:type="paragraph" w:customStyle="1" w:styleId="BodyTextIndent">
    <w:name w:val="BodyTextIndent"/>
    <w:basedOn w:val="a0"/>
    <w:next w:val="a0"/>
    <w:uiPriority w:val="99"/>
    <w:qFormat/>
    <w:pPr>
      <w:spacing w:after="120"/>
      <w:ind w:leftChars="200" w:left="200"/>
      <w:textAlignment w:val="baseline"/>
    </w:pPr>
  </w:style>
  <w:style w:type="character" w:customStyle="1" w:styleId="150">
    <w:name w:val="15"/>
    <w:basedOn w:val="a1"/>
    <w:qFormat/>
    <w:rPr>
      <w:rFonts w:ascii="黑体" w:eastAsia="黑体" w:hAnsi="黑体" w:hint="eastAsia"/>
    </w:rPr>
  </w:style>
  <w:style w:type="paragraph" w:customStyle="1" w:styleId="16">
    <w:name w:val="列出段落1"/>
    <w:basedOn w:val="a0"/>
    <w:uiPriority w:val="34"/>
    <w:qFormat/>
    <w:pPr>
      <w:ind w:firstLineChars="200" w:firstLine="420"/>
    </w:pPr>
  </w:style>
  <w:style w:type="paragraph" w:customStyle="1" w:styleId="17">
    <w:name w:val="样式 标题 1 + (符号) 宋体"/>
    <w:basedOn w:val="1"/>
    <w:qFormat/>
    <w:rPr>
      <w:b w:val="0"/>
      <w:sz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customStyle="1" w:styleId="af2">
    <w:name w:val="非政府正文"/>
    <w:uiPriority w:val="99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22">
    <w:name w:val="样式2"/>
    <w:qFormat/>
    <w:pPr>
      <w:widowControl w:val="0"/>
      <w:ind w:rightChars="-47" w:right="-47" w:firstLine="200"/>
      <w:jc w:val="both"/>
    </w:pPr>
    <w:rPr>
      <w:rFonts w:ascii="Calibri" w:hAnsi="Calibri"/>
      <w:bCs/>
      <w:kern w:val="2"/>
      <w:sz w:val="21"/>
      <w:szCs w:val="28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semiHidden/>
    <w:qFormat/>
    <w:pPr>
      <w:widowControl w:val="0"/>
      <w:jc w:val="both"/>
    </w:pPr>
    <w:rPr>
      <w:rFonts w:ascii="FangSong" w:eastAsia="FangSong" w:hAnsi="FangSong" w:cs="FangSong"/>
      <w:kern w:val="2"/>
      <w:sz w:val="23"/>
      <w:szCs w:val="23"/>
      <w:lang w:eastAsia="en-US"/>
    </w:rPr>
  </w:style>
  <w:style w:type="character" w:customStyle="1" w:styleId="font91">
    <w:name w:val="font9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5</Pages>
  <Words>2226</Words>
  <Characters>351</Characters>
  <Application>Microsoft Office Word</Application>
  <DocSecurity>0</DocSecurity>
  <Lines>2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ad</cp:lastModifiedBy>
  <cp:revision>2</cp:revision>
  <cp:lastPrinted>2025-04-24T15:47:00Z</cp:lastPrinted>
  <dcterms:created xsi:type="dcterms:W3CDTF">2024-02-24T02:37:00Z</dcterms:created>
  <dcterms:modified xsi:type="dcterms:W3CDTF">2025-05-16T00:25:00Z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2052-12.8.2.15110</vt:lpwstr>
  </property>
  <property fmtid="{D5CDD505-2E9C-101B-9397-08002B2CF9AE}" pid="3" name="ICV">
    <vt:lpwstr>18B54BA4A0BB94292E5124683FF1E350_43</vt:lpwstr>
  </property>
</Properties>
</file>